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0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83F52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83F52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rFonts w:ascii="Trebuchet MS"/>
          <w:b/>
        </w:rPr>
        <w:t>4</w:t>
      </w:r>
      <w:hyperlink w:history="true" w:anchor="_bookmark2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500"/>
          <w:cols w:num="2" w:equalWidth="0">
            <w:col w:w="5061" w:space="521"/>
            <w:col w:w="615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F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图17"/>
                        <wps:cNvSpPr/>
                        <wps:spPr>
                          <a:xfrm>
                            <a:off x="3943350" y="37909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图像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0560" y="127850"/>
                            <a:ext cx="1373008" cy="28906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图像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82516" y="1778000"/>
                            <a:ext cx="2982061" cy="1403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20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A83F52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642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6"/>
                              </w:pPr>
                              <w:r>
                                <w:t>Temp1000IS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466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7"/>
                              </w:pPr>
                              <w:r>
                                <w:rPr>
                                  <w:spacing w:val="-2"/>
                                </w:rPr>
                                <w:t>内部</w:t>
                              </w:r>
                              <w:r>
                                <w:rPr>
                                  <w:spacing w:val="-2"/>
                                </w:rPr>
                                <w:t>安全</w:t>
                              </w:r>
                              <w:r>
                                <w:rPr>
                                  <w:spacing w:val="-2"/>
                                </w:rPr>
                                <w:t>温度</w:t>
                              </w:r>
                              <w:r>
                                <w:t>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1" name="图像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图像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5568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2" name="图像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图像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8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3" name="组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组23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4" name="图形24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457203</wp:posOffset>
                </wp:positionH>
                <wp:positionV relativeFrom="paragraph">
                  <wp:posOffset>222256</wp:posOffset>
                </wp:positionV>
                <wp:extent cx="247650" cy="46672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24765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0" h="466725">
                              <a:moveTo>
                                <a:pt x="237401" y="0"/>
                              </a:moveTo>
                              <a:lnTo>
                                <a:pt x="232422" y="0"/>
                              </a:lnTo>
                              <a:lnTo>
                                <a:pt x="185637" y="4745"/>
                              </a:lnTo>
                              <a:lnTo>
                                <a:pt x="142035" y="18352"/>
                              </a:lnTo>
                              <a:lnTo>
                                <a:pt x="102558" y="39875"/>
                              </a:lnTo>
                              <a:lnTo>
                                <a:pt x="68148" y="68370"/>
                              </a:lnTo>
                              <a:lnTo>
                                <a:pt x="39745" y="102892"/>
                              </a:lnTo>
                              <a:lnTo>
                                <a:pt x="18292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2" y="323847"/>
                              </a:lnTo>
                              <a:lnTo>
                                <a:pt x="39745" y="363451"/>
                              </a:lnTo>
                              <a:lnTo>
                                <a:pt x="68148" y="397973"/>
                              </a:lnTo>
                              <a:lnTo>
                                <a:pt x="102558" y="426468"/>
                              </a:lnTo>
                              <a:lnTo>
                                <a:pt x="142035" y="447991"/>
                              </a:lnTo>
                              <a:lnTo>
                                <a:pt x="185637" y="461598"/>
                              </a:lnTo>
                              <a:lnTo>
                                <a:pt x="232422" y="466344"/>
                              </a:lnTo>
                              <a:lnTo>
                                <a:pt x="242379" y="466191"/>
                              </a:lnTo>
                              <a:lnTo>
                                <a:pt x="247357" y="465874"/>
                              </a:lnTo>
                              <a:lnTo>
                                <a:pt x="247357" y="414604"/>
                              </a:lnTo>
                              <a:lnTo>
                                <a:pt x="237401" y="415213"/>
                              </a:lnTo>
                              <a:lnTo>
                                <a:pt x="232422" y="415213"/>
                              </a:lnTo>
                              <a:lnTo>
                                <a:pt x="184242" y="408700"/>
                              </a:lnTo>
                              <a:lnTo>
                                <a:pt x="140914" y="390324"/>
                              </a:lnTo>
                              <a:lnTo>
                                <a:pt x="104181" y="361835"/>
                              </a:lnTo>
                              <a:lnTo>
                                <a:pt x="75785" y="324981"/>
                              </a:lnTo>
                              <a:lnTo>
                                <a:pt x="57470" y="281511"/>
                              </a:lnTo>
                              <a:lnTo>
                                <a:pt x="50977" y="233172"/>
                              </a:lnTo>
                              <a:lnTo>
                                <a:pt x="57470" y="184832"/>
                              </a:lnTo>
                              <a:lnTo>
                                <a:pt x="75785" y="141362"/>
                              </a:lnTo>
                              <a:lnTo>
                                <a:pt x="104181" y="104508"/>
                              </a:lnTo>
                              <a:lnTo>
                                <a:pt x="140914" y="76019"/>
                              </a:lnTo>
                              <a:lnTo>
                                <a:pt x="184242" y="57643"/>
                              </a:lnTo>
                              <a:lnTo>
                                <a:pt x="232422" y="51130"/>
                              </a:lnTo>
                              <a:lnTo>
                                <a:pt x="242392" y="51333"/>
                              </a:lnTo>
                              <a:lnTo>
                                <a:pt x="247357" y="51739"/>
                              </a:lnTo>
                              <a:lnTo>
                                <a:pt x="247357" y="469"/>
                              </a:lnTo>
                              <a:lnTo>
                                <a:pt x="23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871063</wp:posOffset>
                </wp:positionH>
                <wp:positionV relativeFrom="paragraph">
                  <wp:posOffset>222256</wp:posOffset>
                </wp:positionV>
                <wp:extent cx="245745" cy="466725"/>
                <wp:effectExtent l="0" t="0" r="0" b="0"/>
                <wp:wrapTopAndBottom/>
                <wp:docPr id="27" name="图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图27"/>
                      <wps:cNvSpPr/>
                      <wps:spPr>
                        <a:xfrm>
                          <a:off x="0" y="0"/>
                          <a:ext cx="245745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" h="466725">
                              <a:moveTo>
                                <a:pt x="232422" y="0"/>
                              </a:moveTo>
                              <a:lnTo>
                                <a:pt x="185641" y="4745"/>
                              </a:lnTo>
                              <a:lnTo>
                                <a:pt x="142040" y="18352"/>
                              </a:lnTo>
                              <a:lnTo>
                                <a:pt x="102564" y="39875"/>
                              </a:lnTo>
                              <a:lnTo>
                                <a:pt x="68152" y="68370"/>
                              </a:lnTo>
                              <a:lnTo>
                                <a:pt x="39748" y="102892"/>
                              </a:lnTo>
                              <a:lnTo>
                                <a:pt x="18294" y="142496"/>
                              </a:lnTo>
                              <a:lnTo>
                                <a:pt x="4730" y="186237"/>
                              </a:lnTo>
                              <a:lnTo>
                                <a:pt x="0" y="233172"/>
                              </a:lnTo>
                              <a:lnTo>
                                <a:pt x="4730" y="280106"/>
                              </a:lnTo>
                              <a:lnTo>
                                <a:pt x="18294" y="323847"/>
                              </a:lnTo>
                              <a:lnTo>
                                <a:pt x="39748" y="363451"/>
                              </a:lnTo>
                              <a:lnTo>
                                <a:pt x="68152" y="397973"/>
                              </a:lnTo>
                              <a:lnTo>
                                <a:pt x="102564" y="426468"/>
                              </a:lnTo>
                              <a:lnTo>
                                <a:pt x="142040" y="447991"/>
                              </a:lnTo>
                              <a:lnTo>
                                <a:pt x="185641" y="461598"/>
                              </a:lnTo>
                              <a:lnTo>
                                <a:pt x="232422" y="466344"/>
                              </a:lnTo>
                              <a:lnTo>
                                <a:pt x="245732" y="465975"/>
                              </a:lnTo>
                              <a:lnTo>
                                <a:pt x="245732" y="414731"/>
                              </a:lnTo>
                              <a:lnTo>
                                <a:pt x="236867" y="415213"/>
                              </a:lnTo>
                              <a:lnTo>
                                <a:pt x="232422" y="415213"/>
                              </a:lnTo>
                              <a:lnTo>
                                <a:pt x="171623" y="404668"/>
                              </a:lnTo>
                              <a:lnTo>
                                <a:pt x="117881" y="374357"/>
                              </a:lnTo>
                              <a:lnTo>
                                <a:pt x="77865" y="328502"/>
                              </a:lnTo>
                              <a:lnTo>
                                <a:pt x="55156" y="272161"/>
                              </a:lnTo>
                              <a:lnTo>
                                <a:pt x="52235" y="258737"/>
                              </a:lnTo>
                              <a:lnTo>
                                <a:pt x="197053" y="258737"/>
                              </a:lnTo>
                              <a:lnTo>
                                <a:pt x="197053" y="207606"/>
                              </a:lnTo>
                              <a:lnTo>
                                <a:pt x="52235" y="207606"/>
                              </a:lnTo>
                              <a:lnTo>
                                <a:pt x="55156" y="194170"/>
                              </a:lnTo>
                              <a:lnTo>
                                <a:pt x="77865" y="137837"/>
                              </a:lnTo>
                              <a:lnTo>
                                <a:pt x="117881" y="91973"/>
                              </a:lnTo>
                              <a:lnTo>
                                <a:pt x="171623" y="61679"/>
                              </a:lnTo>
                              <a:lnTo>
                                <a:pt x="232422" y="51130"/>
                              </a:lnTo>
                              <a:lnTo>
                                <a:pt x="241312" y="51295"/>
                              </a:lnTo>
                              <a:lnTo>
                                <a:pt x="245732" y="51612"/>
                              </a:lnTo>
                              <a:lnTo>
                                <a:pt x="245732" y="368"/>
                              </a:lnTo>
                              <a:lnTo>
                                <a:pt x="232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1472185</wp:posOffset>
            </wp:positionH>
            <wp:positionV relativeFrom="paragraph">
              <wp:posOffset>186144</wp:posOffset>
            </wp:positionV>
            <wp:extent cx="425763" cy="504825"/>
            <wp:effectExtent l="0" t="0" r="0" b="0"/>
            <wp:wrapTopAndBottom/>
            <wp:docPr id="28" name="图像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图像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283802</wp:posOffset>
                </wp:positionV>
                <wp:extent cx="2251710" cy="430530"/>
                <wp:effectExtent l="0" t="0" r="0" b="0"/>
                <wp:wrapTopAndBottom/>
                <wp:docPr id="29" name="组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组29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0" name="图30"/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图32"/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图像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图34"/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图像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/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00"/>
        </w:sectPr>
      </w:pPr>
    </w:p>
    <w:p>
      <w:pPr>
        <w:pStyle w:val="BodyText"/>
        <w:spacing w:before="212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2240" w:h="15840"/>
          <w:pgMar w:header="148" w:footer="235" w:top="1460" w:bottom="420" w:left="0" w:right="500"/>
          <w:pgNumType w:start="2"/>
        </w:sectPr>
      </w:pPr>
    </w:p>
    <w:p>
      <w:pPr>
        <w:pStyle w:val="P68B1DB1-Heading19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720" w:right="229"/>
      </w:pPr>
      <w:hyperlink r:id="rId17">
        <w:r>
          <w:rPr>
            <w:b/>
            <w:spacing w:val="-2"/>
          </w:rPr>
          <w:t xml:space="preserve">Temp 1000 IS</w:t>
        </w:r>
      </w:hyperlink>
      <w:r>
        <w:rPr>
          <w:spacing w:val="-2"/>
        </w:rPr>
        <w:t>具有</w:t>
      </w:r>
      <w:r>
        <w:rPr>
          <w:spacing w:val="-2"/>
        </w:rPr>
        <w:t>危险</w:t>
      </w:r>
      <w:r>
        <w:rPr>
          <w:spacing w:val="-2"/>
        </w:rPr>
        <w:t>场所</w:t>
      </w:r>
      <w:r>
        <w:rPr>
          <w:spacing w:val="-2"/>
        </w:rPr>
        <w:t>本质</w:t>
      </w:r>
      <w:r>
        <w:t>安全认证，符合最新版本：</w:t>
      </w:r>
      <w:r>
        <w:rPr>
          <w:spacing w:val="-4"/>
        </w:rPr>
        <w:t xml:space="preserve">FM 3600、</w:t>
      </w:r>
      <w:r>
        <w:rPr>
          <w:spacing w:val="-4"/>
        </w:rPr>
        <w:t xml:space="preserve">FM 3610、</w:t>
      </w:r>
      <w:r>
        <w:rPr>
          <w:spacing w:val="-4"/>
        </w:rPr>
        <w:t xml:space="preserve">CAN/CSA-C22.2 No. 60079-0：15、CAN/</w:t>
      </w:r>
      <w:r>
        <w:t xml:space="preserve">CSA-C22.2 No. 60079-11：14</w:t>
      </w:r>
    </w:p>
    <w:p>
      <w:pPr>
        <w:pStyle w:val="P68B1DB1-Heading310"/>
        <w:spacing w:before="183"/>
        <w:rPr>
          <w:rFonts w:ascii="Calibri"/>
        </w:rPr>
      </w:pPr>
      <w:r>
        <w:t>经认证的内部安全</w:t>
      </w:r>
      <w:r>
        <w:rPr>
          <w:spacing w:val="-4"/>
        </w:rPr>
        <w:t>：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4" w:after="0"/>
        <w:ind w:left="899" w:right="0" w:hanging="179"/>
        <w:jc w:val="left"/>
        <w:rPr>
          <w:position w:val="1"/>
          <w:sz w:val="22"/>
        </w:rPr>
      </w:pPr>
      <w:r>
        <w:rPr>
          <w:spacing w:val="-2"/>
          <w:position w:val="1"/>
        </w:rPr>
        <w:t xml:space="preserve">I、II、III类，1区，A-G组，-40 °C</w:t>
      </w:r>
      <w:r>
        <w:rPr>
          <w:spacing w:val="-2"/>
          <w:sz w:val="16"/>
        </w:rPr>
        <w:t>温度</w:t>
      </w:r>
      <w:r>
        <w:rPr>
          <w:spacing w:val="-10"/>
          <w:position w:val="1"/>
        </w:rPr>
        <w:t>&lt;</w:t>
      </w:r>
    </w:p>
    <w:p>
      <w:pPr>
        <w:pStyle w:val="BodyText"/>
        <w:spacing w:before="9"/>
        <w:ind w:left="899"/>
      </w:pPr>
      <w:r>
        <w:rPr>
          <w:spacing w:val="-4"/>
        </w:rPr>
        <w:t xml:space="preserve">+80 °C，</w:t>
      </w:r>
      <w:r>
        <w:rPr>
          <w:spacing w:val="-5"/>
        </w:rPr>
        <w:t>T4A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14" w:after="0"/>
        <w:ind w:left="898" w:right="0" w:hanging="179"/>
        <w:jc w:val="left"/>
        <w:rPr>
          <w:position w:val="1"/>
          <w:sz w:val="22"/>
        </w:rPr>
      </w:pPr>
      <w:r>
        <w:rPr>
          <w:spacing w:val="-2"/>
          <w:position w:val="1"/>
        </w:rPr>
        <w:t xml:space="preserve">I、II、III类，2区，A-D、F、G组，-40 °C</w:t>
      </w:r>
      <w:r>
        <w:rPr>
          <w:spacing w:val="-2"/>
          <w:sz w:val="16"/>
        </w:rPr>
        <w:t>温度</w:t>
      </w:r>
      <w:r>
        <w:rPr>
          <w:spacing w:val="-10"/>
          <w:position w:val="1"/>
        </w:rPr>
        <w:t>&lt;</w:t>
      </w:r>
    </w:p>
    <w:p>
      <w:pPr>
        <w:pStyle w:val="BodyText"/>
        <w:spacing w:before="9"/>
        <w:ind w:left="899"/>
      </w:pPr>
      <w:r>
        <w:rPr>
          <w:spacing w:val="-4"/>
        </w:rPr>
        <w:t xml:space="preserve">+80 °C，</w:t>
      </w:r>
      <w:r>
        <w:rPr>
          <w:spacing w:val="-5"/>
        </w:rPr>
        <w:t>T4A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11" w:after="0"/>
        <w:ind w:left="898" w:right="0" w:hanging="179"/>
        <w:jc w:val="left"/>
        <w:rPr>
          <w:sz w:val="22"/>
        </w:rPr>
      </w:pPr>
      <w:r>
        <w:rPr>
          <w:spacing w:val="-2"/>
        </w:rPr>
        <w:t>温度等级：</w:t>
      </w:r>
      <w:r>
        <w:rPr>
          <w:spacing w:val="-5"/>
        </w:rPr>
        <w:t>T4A</w:t>
      </w:r>
    </w:p>
    <w:p>
      <w:pPr>
        <w:pStyle w:val="P68B1DB1-Heading211"/>
        <w:spacing w:before="155"/>
      </w:pPr>
      <w:r>
        <w:rPr>
          <w:spacing w:val="-7"/>
        </w:rPr>
        <w:t>操作</w:t>
      </w:r>
      <w:r>
        <w:rPr>
          <w:spacing w:val="-2"/>
        </w:rPr>
        <w:t>系统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18" w:after="0"/>
        <w:ind w:left="899" w:right="0" w:hanging="180"/>
        <w:jc w:val="left"/>
        <w:rPr>
          <w:sz w:val="22"/>
        </w:rPr>
      </w:pPr>
      <w:r>
        <w:t>当在危险场所使用时，Temp1000IS应</w:t>
      </w:r>
      <w:r>
        <w:rPr>
          <w:b/>
          <w:i/>
        </w:rPr>
        <w:t>在</w:t>
      </w:r>
      <w:r>
        <w:t>危险场所变得危险之前安装，只有在该区域不再危险之后才能拆除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272" w:hanging="180"/>
        <w:jc w:val="left"/>
        <w:rPr>
          <w:sz w:val="22"/>
        </w:rPr>
      </w:pPr>
      <w:r>
        <w:t>Temp1000IS的</w:t>
      </w:r>
      <w:r>
        <w:t>最高</w:t>
      </w:r>
      <w:r>
        <w:t>允许</w:t>
      </w:r>
      <w:r>
        <w:t>环境</w:t>
      </w:r>
      <w:r>
        <w:t>温度</w:t>
      </w:r>
      <w:r>
        <w:rPr>
          <w:spacing w:val="-2"/>
        </w:rPr>
        <w:t>（在</w:t>
      </w:r>
      <w:r>
        <w:rPr>
          <w:spacing w:val="-2"/>
        </w:rPr>
        <w:t>任何</w:t>
      </w:r>
      <w:r>
        <w:rPr>
          <w:spacing w:val="-2"/>
        </w:rPr>
        <w:t>情况下）</w:t>
      </w:r>
      <w:r>
        <w:rPr>
          <w:spacing w:val="-2"/>
        </w:rPr>
        <w:t>为</w:t>
      </w:r>
      <w:r>
        <w:rPr>
          <w:spacing w:val="-2"/>
        </w:rPr>
        <w:t>+80</w:t>
      </w:r>
      <w:r>
        <w:rPr>
          <w:spacing w:val="-2"/>
        </w:rPr>
        <w:t>°C。</w:t>
      </w:r>
      <w:r>
        <w:t xml:space="preserve">最低额定工作温度为-40 °C。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95" w:hanging="180"/>
        <w:jc w:val="left"/>
        <w:rPr>
          <w:sz w:val="22"/>
        </w:rPr>
      </w:pPr>
      <w:r>
        <w:t xml:space="preserve">Temp 1000 IS仅可与</w:t>
      </w:r>
      <w:r>
        <w:rPr>
          <w:spacing w:val="-2"/>
        </w:rPr>
        <w:t>Tadiran</w:t>
      </w:r>
      <w:r>
        <w:rPr>
          <w:spacing w:val="-2"/>
        </w:rPr>
        <w:t>TL-2150/S</w:t>
      </w:r>
      <w:r>
        <w:rPr>
          <w:spacing w:val="-2"/>
        </w:rPr>
        <w:t>电池配合使用。</w:t>
      </w:r>
      <w:r>
        <w:rPr>
          <w:spacing w:val="-2"/>
        </w:rPr>
        <w:t>更换</w:t>
      </w:r>
      <w:r>
        <w:rPr>
          <w:spacing w:val="-2"/>
        </w:rPr>
        <w:t>任何</w:t>
      </w:r>
      <w:r>
        <w:rPr>
          <w:spacing w:val="-2"/>
        </w:rPr>
        <w:t>其他</w:t>
      </w:r>
      <w:r>
        <w:t>电池将使安全等级无效。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38" w:hanging="180"/>
        <w:jc w:val="left"/>
        <w:rPr>
          <w:sz w:val="22"/>
        </w:rPr>
      </w:pPr>
      <w:r>
        <w:rPr>
          <w:spacing w:val="-2"/>
        </w:rPr>
        <w:t>电池</w:t>
      </w:r>
      <w:r>
        <w:rPr>
          <w:spacing w:val="-2"/>
        </w:rPr>
        <w:t>可由</w:t>
      </w:r>
      <w:r>
        <w:rPr>
          <w:spacing w:val="-2"/>
        </w:rPr>
        <w:t>用户</w:t>
      </w:r>
      <w:r>
        <w:rPr>
          <w:spacing w:val="-2"/>
        </w:rPr>
        <w:t>更换，</w:t>
      </w:r>
      <w:r>
        <w:rPr>
          <w:spacing w:val="-2"/>
        </w:rPr>
        <w:t>但</w:t>
      </w:r>
      <w:r>
        <w:t>只能在已知无危险的位置</w:t>
      </w:r>
      <w:r>
        <w:rPr>
          <w:spacing w:val="-2"/>
        </w:rPr>
        <w:t>拆卸</w:t>
      </w:r>
      <w:r>
        <w:rPr>
          <w:spacing w:val="-2"/>
        </w:rPr>
        <w:t>或</w:t>
      </w:r>
      <w:r>
        <w:t>更换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9" w:lineRule="auto" w:before="92" w:after="0"/>
        <w:ind w:left="899" w:right="117" w:hanging="180"/>
        <w:jc w:val="left"/>
        <w:rPr>
          <w:sz w:val="22"/>
        </w:rPr>
      </w:pPr>
      <w:r>
        <w:t>篡改或更换非出厂部件可能会对产品的安全使用产生不利影响，因此禁止使用。</w:t>
      </w:r>
      <w:r>
        <w:rPr>
          <w:spacing w:val="-3"/>
        </w:rPr>
        <w:t xml:space="preserve"> </w:t>
      </w:r>
      <w:r>
        <w:t>除</w:t>
      </w:r>
      <w:r>
        <w:t>更换</w:t>
      </w:r>
      <w:r>
        <w:t>电池外，</w:t>
      </w:r>
      <w:r>
        <w:rPr>
          <w:spacing w:val="-2"/>
        </w:rPr>
        <w:t>用户</w:t>
      </w:r>
      <w:r>
        <w:rPr>
          <w:spacing w:val="-2"/>
        </w:rPr>
        <w:t>不得</w:t>
      </w:r>
      <w:r>
        <w:rPr>
          <w:spacing w:val="-2"/>
        </w:rPr>
        <w:t>维修</w:t>
      </w:r>
      <w:r>
        <w:rPr>
          <w:spacing w:val="-2"/>
        </w:rPr>
        <w:t>Temp1000IS。</w:t>
      </w:r>
      <w:r>
        <w:rPr>
          <w:spacing w:val="-6"/>
        </w:rPr>
        <w:t>MadgeTech</w:t>
      </w:r>
      <w:r>
        <w:rPr>
          <w:spacing w:val="-2"/>
        </w:rPr>
        <w:t>公司或</w:t>
      </w:r>
      <w:r>
        <w:rPr>
          <w:spacing w:val="-2"/>
        </w:rPr>
        <w:t>授权</w:t>
      </w:r>
      <w:r>
        <w:rPr>
          <w:spacing w:val="-2"/>
        </w:rPr>
        <w:t>代表</w:t>
      </w:r>
      <w:r>
        <w:rPr>
          <w:spacing w:val="-2"/>
        </w:rPr>
        <w:t>必须</w:t>
      </w:r>
      <w:r>
        <w:rPr>
          <w:spacing w:val="-2"/>
        </w:rPr>
        <w:t>执行</w:t>
      </w:r>
      <w:r>
        <w:rPr>
          <w:spacing w:val="-4"/>
        </w:rPr>
        <w:t>产品的</w:t>
      </w:r>
      <w:r>
        <w:rPr>
          <w:spacing w:val="-2"/>
        </w:rPr>
        <w:t>所有</w:t>
      </w:r>
      <w:r>
        <w:rPr>
          <w:spacing w:val="-2"/>
        </w:rPr>
        <w:t>其他</w:t>
      </w:r>
      <w:r>
        <w:t>服务。</w:t>
      </w:r>
    </w:p>
    <w:p>
      <w:pPr>
        <w:pStyle w:val="P68B1DB1-Heading211"/>
        <w:spacing w:before="148"/>
      </w:pPr>
      <w:r>
        <w:rPr>
          <w:spacing w:val="-7"/>
        </w:rP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07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902214-00-Temp 1000 IS-1（1英寸探头）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902215-00-Temp 1000 IS-2（2英寸探头）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6"/>
        </w:rPr>
        <w:t xml:space="preserve">902216-00-Temp 1000 IS-5.25（5.25英寸探头）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902217-00-Temp 1000 IS-7（7英寸探头）</w:t>
      </w:r>
    </w:p>
    <w:p>
      <w:pPr>
        <w:pStyle w:val="P68B1DB1-Heading310"/>
        <w:spacing w:before="12"/>
        <w:rPr>
          <w:rFonts w:ascii="Calibri"/>
        </w:rPr>
      </w:pPr>
      <w:r>
        <w:t>键环端</w:t>
      </w:r>
      <w:r>
        <w:rPr>
          <w:spacing w:val="-5"/>
        </w:rPr>
        <w:t>盖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902219-00-Temp 1000 IS-1-KR（1英寸探头）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902220-00-Temp 1000 IS-2-KR（2英寸探头）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902221-00-Temp 1000 IS-5.25-KR（5.25英寸探头）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902222-00-Temp 1000 IS-7-KR（7英寸探头）</w:t>
      </w:r>
    </w:p>
    <w:p>
      <w:pPr>
        <w:pStyle w:val="P68B1DB1-Heading312"/>
        <w:spacing w:before="12"/>
        <w:rPr>
          <w:rFonts w:ascii="Calibri"/>
        </w:rPr>
      </w:pPr>
      <w:r>
        <w:t>配件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w w:val="90"/>
        </w:rPr>
        <w:t>900319-00-</w:t>
      </w:r>
      <w:r>
        <w:rPr>
          <w:spacing w:val="-2"/>
          <w:w w:val="90"/>
        </w:rPr>
        <w:t xml:space="preserve">IFC 400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900325-00-</w:t>
      </w:r>
      <w:r>
        <w:rPr>
          <w:spacing w:val="-2"/>
          <w:w w:val="90"/>
        </w:rPr>
        <w:t xml:space="preserve">IFC 406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" w:after="0"/>
        <w:ind w:left="899" w:right="0" w:hanging="179"/>
        <w:jc w:val="left"/>
        <w:rPr>
          <w:sz w:val="22"/>
        </w:rPr>
      </w:pPr>
      <w:r>
        <w:rPr>
          <w:spacing w:val="-4"/>
        </w:rPr>
        <w:t xml:space="preserve">901745-00-Battery Tadiran TL-2150/S</w:t>
      </w:r>
    </w:p>
    <w:p>
      <w:pPr>
        <w:pStyle w:val="Heading1"/>
        <w:ind w:left="446"/>
      </w:pPr>
      <w:r>
        <w:br w:type="column"/>
      </w:r>
      <w:r>
        <w:rPr>
          <w:color w:val="A83F52"/>
          <w:w w:val="105"/>
        </w:rPr>
        <w:t>安装</w:t>
      </w:r>
      <w:r>
        <w:rPr>
          <w:color w:val="A83F52"/>
          <w:spacing w:val="-2"/>
          <w:w w:val="105"/>
        </w:rPr>
        <w:t>指南</w:t>
      </w:r>
    </w:p>
    <w:p>
      <w:pPr>
        <w:pStyle w:val="P68B1DB1-Heading313"/>
        <w:ind w:left="446"/>
      </w:pPr>
      <w:r>
        <w:rPr>
          <w:spacing w:val="-4"/>
        </w:rPr>
        <w:t>安装软件</w:t>
      </w:r>
    </w:p>
    <w:p>
      <w:pPr>
        <w:pStyle w:val="BodyText"/>
        <w:spacing w:line="249" w:lineRule="auto" w:before="111"/>
        <w:ind w:left="446" w:right="207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A83F52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313"/>
        <w:spacing w:before="186"/>
        <w:ind w:left="446"/>
      </w:pPr>
      <w:r>
        <w:rPr>
          <w:spacing w:val="-6"/>
        </w:rPr>
        <w:t>安装USB接口驱动程序</w:t>
      </w:r>
    </w:p>
    <w:p>
      <w:pPr>
        <w:pStyle w:val="BodyText"/>
        <w:spacing w:line="249" w:lineRule="auto" w:before="111"/>
        <w:ind w:left="446" w:right="207"/>
      </w:pPr>
      <w:r>
        <w:rPr>
          <w:color w:val="A83F52"/>
        </w:rPr>
        <w:t xml:space="preserve">IFC 400或IFC 406</w:t>
      </w:r>
      <w:r>
        <w:t>-按照安装向导中提供的说明</w:t>
      </w:r>
      <w:r>
        <w:rPr>
          <w:spacing w:val="-2"/>
        </w:rPr>
        <w:t>安装</w:t>
      </w:r>
      <w:r>
        <w:rPr>
          <w:spacing w:val="-2"/>
        </w:rPr>
        <w:t>USB</w:t>
      </w:r>
      <w:r>
        <w:rPr>
          <w:spacing w:val="-2"/>
        </w:rPr>
        <w:t>接口</w:t>
      </w:r>
      <w:r>
        <w:rPr>
          <w:spacing w:val="-2"/>
        </w:rPr>
        <w:t>驱动程序。</w:t>
      </w:r>
      <w:r>
        <w:t>驱动程序也可以从MadgeTech网站</w:t>
      </w:r>
      <w:hyperlink r:id="rId5">
        <w:r>
          <w:rPr>
            <w:b/>
            <w:color w:val="A83F52"/>
          </w:rPr>
          <w:t>madgetech.com</w:t>
        </w:r>
      </w:hyperlink>
      <w:r>
        <w:t>下载。</w:t>
      </w:r>
    </w:p>
    <w:p>
      <w:pPr>
        <w:pStyle w:val="P68B1DB1-Heading19"/>
        <w:spacing w:before="268"/>
        <w:ind w:left="446"/>
      </w:pPr>
      <w:r>
        <w:t>设备</w:t>
      </w:r>
      <w:r>
        <w:rPr>
          <w:spacing w:val="-2"/>
        </w:rPr>
        <w:t>操作</w:t>
      </w:r>
    </w:p>
    <w:p>
      <w:pPr>
        <w:pStyle w:val="P68B1DB1-Heading313"/>
        <w:spacing w:before="167"/>
        <w:ind w:left="446"/>
      </w:pPr>
      <w:r>
        <w:rPr>
          <w:spacing w:val="-4"/>
        </w:rPr>
        <w:t>连接并启动数据记录器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12" w:after="0"/>
        <w:ind w:left="734" w:right="562" w:hanging="288"/>
        <w:jc w:val="left"/>
        <w:rPr>
          <w:sz w:val="22"/>
        </w:rPr>
      </w:pPr>
      <w:r>
        <w:t>安装</w:t>
      </w:r>
      <w:r>
        <w:t>并</w:t>
      </w:r>
      <w:r>
        <w:t>运行软件后，</w:t>
      </w:r>
      <w:r>
        <w:t>将</w:t>
      </w:r>
      <w:r>
        <w:t xml:space="preserve">接口电缆插入扩展坞（IFC 400或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92" w:after="0"/>
        <w:ind w:left="734" w:right="650" w:hanging="288"/>
        <w:jc w:val="left"/>
        <w:rPr>
          <w:sz w:val="22"/>
        </w:rPr>
      </w:pPr>
      <w:r>
        <w:t>将接口电缆的USB端连接到计算机上打开的USB端口。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92" w:after="0"/>
        <w:ind w:left="734" w:right="394" w:hanging="288"/>
        <w:jc w:val="left"/>
        <w:rPr>
          <w:sz w:val="22"/>
        </w:rPr>
      </w:pPr>
      <w:r>
        <w:t xml:space="preserve">将数据记录仪放入扩展坞（IFC 400或IFC 406）。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91" w:after="0"/>
        <w:ind w:left="733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2"/>
        <w:ind w:left="734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01" w:after="0"/>
        <w:ind w:left="734" w:right="55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734" w:right="207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2"/>
        </w:numPr>
        <w:tabs>
          <w:tab w:pos="733" w:val="left" w:leader="none"/>
        </w:tabs>
        <w:spacing w:line="240" w:lineRule="auto" w:before="94" w:after="0"/>
        <w:ind w:left="733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2"/>
        <w:ind w:left="734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2"/>
        </w:numPr>
        <w:tabs>
          <w:tab w:pos="734" w:val="left" w:leader="none"/>
        </w:tabs>
        <w:spacing w:line="249" w:lineRule="auto" w:before="101" w:after="0"/>
        <w:ind w:left="734" w:right="583" w:hanging="288"/>
        <w:jc w:val="left"/>
        <w:rPr>
          <w:sz w:val="22"/>
        </w:rPr>
      </w:pPr>
      <w:r>
        <w:rPr>
          <w:spacing w:val="-2"/>
        </w:rPr>
        <w:t>断开</w:t>
      </w:r>
      <w:r>
        <w:rPr>
          <w:spacing w:val="-2"/>
        </w:rPr>
        <w:t>数据</w:t>
      </w:r>
      <w:r>
        <w:rPr>
          <w:spacing w:val="-2"/>
        </w:rPr>
        <w:t>记录器</w:t>
      </w:r>
      <w:r>
        <w:rPr>
          <w:spacing w:val="-2"/>
        </w:rPr>
        <w:t>与</w:t>
      </w:r>
      <w:r>
        <w:rPr>
          <w:spacing w:val="-2"/>
        </w:rPr>
        <w:t>接口</w:t>
      </w:r>
      <w:r>
        <w:rPr>
          <w:spacing w:val="-2"/>
        </w:rPr>
        <w:t>电缆的</w:t>
      </w:r>
      <w:r>
        <w:t>连接，并将其放置在环境中进行测量。</w:t>
      </w:r>
    </w:p>
    <w:p>
      <w:pPr>
        <w:spacing w:line="261" w:lineRule="auto" w:before="89"/>
        <w:ind w:left="446" w:right="421" w:firstLine="0"/>
        <w:jc w:val="left"/>
        <w:rPr>
          <w:i/>
          <w:sz w:val="18"/>
        </w:rPr>
        <w:pStyle w:val="P68B1DB1-Normal14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header="148" w:footer="235" w:top="1220" w:bottom="280" w:left="0" w:right="500"/>
          <w:cols w:num="2" w:equalWidth="0">
            <w:col w:w="5859" w:space="40"/>
            <w:col w:w="5841"/>
          </w:cols>
        </w:sectPr>
      </w:pPr>
    </w:p>
    <w:p>
      <w:pPr>
        <w:pStyle w:val="BodyText"/>
        <w:spacing w:before="241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235" w:top="1460" w:bottom="520" w:left="0" w:right="500"/>
        </w:sectPr>
      </w:pPr>
    </w:p>
    <w:p>
      <w:pPr>
        <w:pStyle w:val="P68B1DB1-Heading115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313"/>
      </w:pPr>
      <w:r>
        <w:rPr>
          <w:spacing w:val="-4"/>
        </w:rPr>
        <w:t>从数据记录器下载数据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11" w:after="0"/>
        <w:ind w:left="1007" w:right="375" w:hanging="288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扩展</w:t>
      </w:r>
      <w:r>
        <w:t>坞</w:t>
      </w:r>
      <w:r>
        <w:t xml:space="preserve">（IFC 400</w:t>
      </w:r>
      <w:r>
        <w:t>或</w:t>
      </w:r>
      <w:r>
        <w:rPr>
          <w:spacing w:val="-2"/>
        </w:rPr>
        <w:t xml:space="preserve">IFC 406）。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b/>
          <w:sz w:val="22"/>
        </w:rPr>
      </w:pPr>
      <w:r>
        <w:rPr>
          <w:spacing w:val="-2"/>
        </w:rPr>
        <w:t>突出显示</w:t>
      </w:r>
      <w:r>
        <w:rPr>
          <w:rFonts w:ascii="Trebuchet MS"/>
          <w:b/>
          <w:spacing w:val="-2"/>
        </w:rPr>
        <w:t>连接</w:t>
      </w:r>
      <w:r>
        <w:rPr>
          <w:rFonts w:ascii="Trebuchet MS"/>
          <w:b/>
          <w:spacing w:val="-2"/>
        </w:rPr>
        <w:t>设备</w:t>
      </w:r>
      <w:r>
        <w:rPr>
          <w:spacing w:val="-2"/>
        </w:rPr>
        <w:t>中的数据记录器</w:t>
      </w:r>
    </w:p>
    <w:p>
      <w:pPr>
        <w:pStyle w:val="BodyText"/>
        <w:spacing w:before="11"/>
        <w:ind w:left="1007"/>
      </w:pPr>
      <w:r>
        <w:t>名单</w:t>
      </w:r>
      <w:r>
        <w:rPr>
          <w:spacing w:val="-3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102" w:after="0"/>
        <w:ind w:left="1007" w:right="647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1"/>
          <w:numId w:val="2"/>
        </w:numPr>
        <w:tabs>
          <w:tab w:pos="1007" w:val="left" w:leader="none"/>
        </w:tabs>
        <w:spacing w:line="249" w:lineRule="auto" w:before="91" w:after="0"/>
        <w:ind w:left="1007" w:right="389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19"/>
        <w:spacing w:before="266"/>
      </w:pPr>
      <w:r>
        <w:t>设备</w:t>
      </w:r>
      <w:r>
        <w:rPr>
          <w:spacing w:val="-2"/>
        </w:rPr>
        <w:t>维护</w:t>
      </w:r>
    </w:p>
    <w:p>
      <w:pPr>
        <w:pStyle w:val="P68B1DB1-Heading313"/>
      </w:pPr>
      <w:r>
        <w:rPr>
          <w:spacing w:val="-6"/>
        </w:rPr>
        <w:t>电池</w:t>
      </w:r>
      <w:r>
        <w:rPr>
          <w:spacing w:val="-2"/>
        </w:rPr>
        <w:t>更换</w:t>
      </w:r>
    </w:p>
    <w:p>
      <w:pPr>
        <w:spacing w:before="111"/>
        <w:ind w:left="720" w:right="0" w:firstLine="0"/>
        <w:jc w:val="left"/>
        <w:rPr>
          <w:sz w:val="22"/>
        </w:rPr>
        <w:pStyle w:val="P68B1DB1-Normal16"/>
      </w:pPr>
      <w:r>
        <w:rPr>
          <w:b/>
          <w:spacing w:val="-2"/>
        </w:rPr>
        <w:t>材料：</w:t>
      </w:r>
      <w:r>
        <w:rPr>
          <w:spacing w:val="-2"/>
        </w:rPr>
        <w:t xml:space="preserve">替换电池（Tadiran TL-2150/S）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102" w:after="0"/>
        <w:ind w:left="989" w:right="633" w:hanging="270"/>
        <w:jc w:val="left"/>
        <w:rPr>
          <w:sz w:val="22"/>
        </w:rPr>
      </w:pPr>
      <w:r>
        <w:t>更换电池</w:t>
      </w:r>
      <w:r>
        <w:rPr>
          <w:spacing w:val="-2"/>
        </w:rPr>
        <w:t>前</w:t>
      </w:r>
      <w:r>
        <w:rPr>
          <w:spacing w:val="-2"/>
        </w:rPr>
        <w:t>，</w:t>
      </w:r>
      <w:r>
        <w:rPr>
          <w:spacing w:val="-2"/>
        </w:rPr>
        <w:t>将</w:t>
      </w:r>
      <w:r>
        <w:rPr>
          <w:spacing w:val="-2"/>
        </w:rPr>
        <w:t>设备</w:t>
      </w:r>
      <w:r>
        <w:rPr>
          <w:spacing w:val="-2"/>
        </w:rPr>
        <w:t>移至</w:t>
      </w:r>
      <w:r>
        <w:rPr>
          <w:spacing w:val="-2"/>
        </w:rPr>
        <w:t>非危险</w:t>
      </w:r>
      <w:r>
        <w:rPr>
          <w:spacing w:val="-2"/>
        </w:rPr>
        <w:t>位置</w:t>
      </w:r>
    </w:p>
    <w:p>
      <w:pPr>
        <w:pStyle w:val="ListParagraph"/>
        <w:numPr>
          <w:ilvl w:val="0"/>
          <w:numId w:val="3"/>
        </w:numPr>
        <w:tabs>
          <w:tab w:pos="989" w:val="left" w:leader="none"/>
        </w:tabs>
        <w:spacing w:line="249" w:lineRule="auto" w:before="91" w:after="0"/>
        <w:ind w:left="989" w:right="376" w:hanging="270"/>
        <w:jc w:val="left"/>
        <w:rPr>
          <w:sz w:val="22"/>
        </w:rPr>
      </w:pPr>
      <w:r>
        <w:rPr>
          <w:spacing w:val="-2"/>
        </w:rPr>
        <w:t>拆卸</w:t>
      </w:r>
      <w:r>
        <w:rPr>
          <w:spacing w:val="-2"/>
        </w:rPr>
        <w:t>和</w:t>
      </w:r>
      <w:r>
        <w:t>更换蓄电池</w:t>
      </w:r>
      <w:r>
        <w:rPr>
          <w:spacing w:val="-2"/>
        </w:rPr>
        <w:t>时，</w:t>
      </w:r>
      <w:r>
        <w:rPr>
          <w:spacing w:val="-2"/>
        </w:rPr>
        <w:t>请遵守</w:t>
      </w:r>
      <w:r>
        <w:rPr>
          <w:spacing w:val="-2"/>
        </w:rPr>
        <w:t>操作</w:t>
      </w:r>
      <w:r>
        <w:rPr>
          <w:spacing w:val="-2"/>
        </w:rPr>
        <w:t>规程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2" w:after="0"/>
        <w:ind w:left="1007" w:right="9" w:hanging="288"/>
        <w:jc w:val="left"/>
        <w:rPr>
          <w:sz w:val="22"/>
        </w:rPr>
      </w:pPr>
      <w:r>
        <w:t>拧下</w:t>
      </w:r>
      <w:r>
        <w:t>数据</w:t>
      </w:r>
      <w:r>
        <w:t>记录仪</w:t>
      </w:r>
      <w:r>
        <w:rPr>
          <w:spacing w:val="-13"/>
        </w:rPr>
        <w:t>底部的螺丝</w:t>
      </w:r>
      <w:r>
        <w:t>并</w:t>
      </w:r>
      <w:r>
        <w:t>取出</w:t>
      </w:r>
      <w:r>
        <w:rPr>
          <w:spacing w:val="-2"/>
        </w:rPr>
        <w:t>电池。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9" w:lineRule="auto" w:before="91" w:after="0"/>
        <w:ind w:left="1007" w:right="0" w:hanging="288"/>
        <w:jc w:val="left"/>
        <w:rPr>
          <w:i/>
          <w:sz w:val="22"/>
        </w:rPr>
      </w:pPr>
      <w:r>
        <w:rPr>
          <w:spacing w:val="-2"/>
        </w:rPr>
        <w:t>将新电池放入记录器中</w:t>
      </w:r>
      <w:r>
        <w:rPr>
          <w:spacing w:val="-5"/>
        </w:rPr>
        <w:t>注意</w:t>
      </w:r>
      <w:r>
        <w:rPr>
          <w:b/>
          <w:i/>
          <w:spacing w:val="-2"/>
        </w:rPr>
        <w:t>：</w:t>
      </w:r>
      <w:r>
        <w:rPr>
          <w:i/>
        </w:rPr>
        <w:t>安装时请注意电池极性是否正确。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240" w:lineRule="auto" w:before="92" w:after="0"/>
        <w:ind w:left="1007" w:right="0" w:hanging="287"/>
        <w:jc w:val="left"/>
        <w:rPr>
          <w:sz w:val="22"/>
        </w:rPr>
      </w:pPr>
      <w:r>
        <w:rPr>
          <w:spacing w:val="-2"/>
        </w:rPr>
        <w:t>将盖子拧到数据记录器上。</w:t>
      </w:r>
    </w:p>
    <w:p>
      <w:pPr>
        <w:pStyle w:val="Heading2"/>
        <w:spacing w:before="160"/>
        <w:ind w:left="424"/>
      </w:pPr>
      <w:r>
        <w:rPr>
          <w:b w:val="0"/>
        </w:rPr>
        <w:br w:type="column"/>
      </w:r>
      <w:r>
        <w:rPr>
          <w:color w:val="A83F52"/>
          <w:spacing w:val="-7"/>
        </w:rPr>
        <w:t>O形</w:t>
      </w:r>
      <w:r>
        <w:rPr>
          <w:color w:val="A83F52"/>
          <w:spacing w:val="-4"/>
        </w:rPr>
        <w:t>环</w:t>
      </w:r>
    </w:p>
    <w:p>
      <w:pPr>
        <w:pStyle w:val="BodyText"/>
        <w:spacing w:line="249" w:lineRule="auto" w:before="108"/>
        <w:ind w:left="424" w:right="452"/>
      </w:pPr>
      <w:r>
        <w:t>O形圈的维护是正确保养Temp1000IS的关键因素。</w:t>
      </w:r>
      <w:r>
        <w:t>O形环确保紧密</w:t>
      </w:r>
      <w:r>
        <w:rPr>
          <w:spacing w:val="-2"/>
        </w:rPr>
        <w:t>密封</w:t>
      </w:r>
      <w:r>
        <w:rPr>
          <w:spacing w:val="-5"/>
        </w:rPr>
        <w:t>，</w:t>
      </w:r>
      <w:r>
        <w:rPr>
          <w:spacing w:val="-2"/>
        </w:rPr>
        <w:t>并</w:t>
      </w:r>
      <w:r>
        <w:rPr>
          <w:spacing w:val="-2"/>
        </w:rPr>
        <w:t>防止</w:t>
      </w:r>
      <w:r>
        <w:rPr>
          <w:spacing w:val="-2"/>
        </w:rPr>
        <w:t>液体</w:t>
      </w:r>
      <w:r>
        <w:rPr>
          <w:spacing w:val="-2"/>
        </w:rPr>
        <w:t>进入</w:t>
      </w:r>
    </w:p>
    <w:p>
      <w:pPr>
        <w:pStyle w:val="BodyText"/>
        <w:spacing w:line="249" w:lineRule="auto" w:before="2"/>
        <w:ind w:left="424"/>
      </w:pPr>
      <w:r>
        <w:rPr>
          <w:spacing w:val="-2"/>
        </w:rPr>
        <w:t xml:space="preserve">设备. </w:t>
      </w:r>
      <w:r>
        <w:t>有关如何防止O形环故障的信息</w:t>
      </w:r>
      <w:r>
        <w:rPr>
          <w:spacing w:val="-2"/>
        </w:rPr>
        <w:t>，请</w:t>
      </w:r>
      <w:r>
        <w:rPr>
          <w:spacing w:val="-2"/>
        </w:rPr>
        <w:t>参阅</w:t>
      </w:r>
      <w:r>
        <w:rPr>
          <w:spacing w:val="-2"/>
        </w:rPr>
        <w:t>应用</w:t>
      </w:r>
      <w:r>
        <w:rPr>
          <w:spacing w:val="-2"/>
        </w:rPr>
        <w:t>说明</w:t>
      </w:r>
      <w:r>
        <w:rPr>
          <w:spacing w:val="-2"/>
        </w:rPr>
        <w:t>“O形环</w:t>
      </w:r>
      <w:r>
        <w:rPr>
          <w:spacing w:val="-2"/>
        </w:rPr>
        <w:t>101：</w:t>
      </w:r>
      <w:r>
        <w:t>保护您的数据”，可在</w:t>
      </w:r>
      <w:hyperlink r:id="rId5">
        <w:r>
          <w:rPr>
            <w:b/>
            <w:color w:val="A83F52"/>
          </w:rPr>
          <w:t>madgetech.com</w:t>
        </w:r>
      </w:hyperlink>
    </w:p>
    <w:p>
      <w:pPr>
        <w:pStyle w:val="P68B1DB1-Heading317"/>
        <w:spacing w:before="165"/>
        <w:ind w:left="424"/>
      </w:pPr>
      <w:r>
        <w:t>重新校准</w:t>
      </w:r>
    </w:p>
    <w:p>
      <w:pPr>
        <w:pStyle w:val="BodyText"/>
        <w:spacing w:line="249" w:lineRule="auto" w:before="112"/>
        <w:ind w:left="424" w:right="140"/>
      </w:pPr>
      <w:r>
        <w:t>建议每年重新校准</w:t>
      </w:r>
      <w:r>
        <w:t>要将设备送回进行校准，请访问</w:t>
      </w:r>
      <w:hyperlink r:id="rId5">
        <w:r>
          <w:rPr>
            <w:b/>
            <w:color w:val="A83F52"/>
          </w:rPr>
          <w:t>madgetech.com</w:t>
        </w:r>
      </w:hyperlink>
      <w:r>
        <w:t>。</w:t>
      </w:r>
    </w:p>
    <w:p>
      <w:pPr>
        <w:pStyle w:val="P68B1DB1-Heading318"/>
        <w:spacing w:before="181"/>
        <w:ind w:left="424"/>
        <w:rPr>
          <w:rFonts w:ascii="Calibri"/>
        </w:rPr>
      </w:pPr>
      <w:r>
        <w:t>其他</w:t>
      </w:r>
      <w:r>
        <w:rPr>
          <w:spacing w:val="-2"/>
        </w:rPr>
        <w:t>服务：</w:t>
      </w:r>
    </w:p>
    <w:p>
      <w:pPr>
        <w:pStyle w:val="BodyText"/>
        <w:spacing w:line="249" w:lineRule="auto" w:before="12"/>
        <w:ind w:left="424" w:right="452"/>
      </w:pPr>
      <w:r>
        <w:t>提供定制校准和验证点</w:t>
      </w:r>
    </w:p>
    <w:p>
      <w:pPr>
        <w:spacing w:line="244" w:lineRule="auto" w:before="158"/>
        <w:ind w:left="424" w:right="140" w:firstLine="0"/>
        <w:jc w:val="left"/>
        <w:rPr>
          <w:i/>
          <w:sz w:val="16"/>
        </w:rPr>
        <w:pStyle w:val="P68B1DB1-Normal19"/>
      </w:pPr>
      <w:r>
        <w:t>要求定制校准选项以满足特定应用需求。</w:t>
      </w:r>
      <w:r>
        <w:rPr>
          <w:spacing w:val="40"/>
        </w:rPr>
        <w:t xml:space="preserve"> </w:t>
      </w:r>
      <w:r>
        <w:rPr>
          <w:spacing w:val="-2"/>
        </w:rPr>
        <w:t>价格</w:t>
      </w:r>
      <w:r>
        <w:rPr>
          <w:spacing w:val="-2"/>
        </w:rPr>
        <w:t>和</w:t>
      </w:r>
      <w:r>
        <w:rPr>
          <w:spacing w:val="-2"/>
        </w:rPr>
        <w:t>规格</w:t>
      </w:r>
      <w:r>
        <w:rPr>
          <w:spacing w:val="-2"/>
        </w:rPr>
        <w:t>可能会</w:t>
      </w:r>
      <w:r>
        <w:rPr>
          <w:spacing w:val="-2"/>
        </w:rPr>
        <w:t>有</w:t>
      </w:r>
      <w:r>
        <w:rPr>
          <w:spacing w:val="-2"/>
        </w:rPr>
        <w:t>变动。</w:t>
      </w:r>
      <w:r>
        <w:t>请</w:t>
      </w:r>
      <w:r>
        <w:rPr>
          <w:spacing w:val="-2"/>
        </w:rPr>
        <w:t>参阅</w:t>
      </w:r>
      <w:r>
        <w:rPr>
          <w:spacing w:val="-2"/>
        </w:rPr>
        <w:t>MadgeTech的</w:t>
      </w:r>
      <w:r>
        <w:rPr>
          <w:spacing w:val="-2"/>
        </w:rPr>
        <w:t>条款</w:t>
      </w:r>
      <w:r>
        <w:rPr>
          <w:spacing w:val="-2"/>
        </w:rPr>
        <w:t>和</w:t>
      </w:r>
      <w:r>
        <w:rPr>
          <w:spacing w:val="-2"/>
        </w:rPr>
        <w:t>条件</w:t>
      </w:r>
      <w:hyperlink r:id="rId5">
        <w:r>
          <w:rPr>
            <w:b/>
          </w:rPr>
          <w:t>madgetech.com</w:t>
        </w:r>
      </w:hyperlink>
      <w:r>
        <w:t>。</w:t>
      </w:r>
    </w:p>
    <w:p>
      <w:pPr>
        <w:spacing w:line="244" w:lineRule="auto" w:before="92"/>
        <w:ind w:left="424" w:right="559" w:firstLine="0"/>
        <w:jc w:val="left"/>
        <w:rPr>
          <w:i/>
          <w:sz w:val="16"/>
        </w:rPr>
        <w:pStyle w:val="P68B1DB1-Normal19"/>
      </w:pPr>
      <w:r>
        <w:rPr>
          <w:spacing w:val="-4"/>
        </w:rPr>
        <w:t>要将设备发送到MadgeTech进行校准、服务或维修，请</w:t>
      </w:r>
      <w:r>
        <w:t>访问</w:t>
      </w:r>
      <w:hyperlink r:id="rId5">
        <w:r>
          <w:rPr>
            <w:b/>
          </w:rPr>
          <w:t>madgetech.com</w:t>
        </w:r>
      </w:hyperlink>
      <w:r>
        <w:t xml:space="preserve">使用MadgeTech RMA流程。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header="148" w:footer="235" w:top="1220" w:bottom="280" w:left="0" w:right="500"/>
          <w:cols w:num="2" w:equalWidth="0">
            <w:col w:w="5881" w:space="40"/>
            <w:col w:w="5819"/>
          </w:cols>
        </w:sectPr>
      </w:pPr>
    </w:p>
    <w:p>
      <w:pPr>
        <w:pStyle w:val="BodyText"/>
        <w:spacing w:before="204"/>
        <w:rPr>
          <w:i/>
          <w:sz w:val="20"/>
        </w:rPr>
      </w:pPr>
    </w:p>
    <w:p>
      <w:pPr>
        <w:pStyle w:val="P68B1DB1-BodyText4"/>
        <w:ind w:left="720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6858000" cy="1344295"/>
                <wp:effectExtent l="0" t="0" r="0" b="0"/>
                <wp:docPr id="43" name="文本框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文本框43"/>
                      <wps:cNvSpPr txBox="1"/>
                      <wps:spPr>
                        <a:xfrm>
                          <a:off x="0" y="0"/>
                          <a:ext cx="6858000" cy="13442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03" w:right="0" w:firstLine="0"/>
                              <w:jc w:val="left"/>
                              <w:rPr>
                                <w:rFonts w:ascii="Trebuchet MS"/>
                                <w:b/>
                                <w:color w:val="000000"/>
                                <w:sz w:val="24"/>
                              </w:rPr>
                              <w:pStyle w:val="P68B1DB1-Normal20"/>
                            </w:pPr>
                            <w:r>
                              <w:t>通信</w:t>
                            </w:r>
                          </w:p>
                          <w:p>
                            <w:pPr>
                              <w:spacing w:line="249" w:lineRule="auto" w:before="107"/>
                              <w:ind w:left="403" w:right="409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  <w:pStyle w:val="P68B1DB1-Normal21"/>
                            </w:pPr>
                            <w:r>
                              <w:t>为了确保TEMP1000IS的预期操作，</w:t>
                            </w:r>
                            <w:r>
                              <w:rPr>
                                <w:b/>
                              </w:rPr>
                              <w:t>请保持表面没有任何异物或物质</w:t>
                            </w:r>
                            <w:r>
                              <w:t>。</w:t>
                            </w:r>
                            <w:r>
                              <w:t xml:space="preserve">TEMP1000IS的数据通过与IFC 400或IFC 406扩展坞的外部连接下载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用</w:t>
                            </w:r>
                            <w:r>
                              <w:t>异物</w:t>
                            </w:r>
                            <w:r>
                              <w:rPr>
                                <w:spacing w:val="-8"/>
                              </w:rPr>
                              <w:t>覆盖表面</w:t>
                            </w:r>
                            <w:r>
                              <w:rPr>
                                <w:b/>
                              </w:rPr>
                              <w:t>（即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校准</w:t>
                            </w:r>
                            <w:r>
                              <w:rPr>
                                <w:b/>
                              </w:rPr>
                              <w:t>标签）</w:t>
                            </w:r>
                            <w:r>
                              <w:t>可能会</w:t>
                            </w:r>
                            <w:r>
                              <w:t>阻止</w:t>
                            </w:r>
                            <w:r>
                              <w:t>通信</w:t>
                            </w:r>
                            <w:r>
                              <w:t>和/或下载过程。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header="148" w:footer="235" w:top="1220" w:bottom="280" w:left="0" w:right="500"/>
        </w:sectPr>
      </w:pPr>
    </w:p>
    <w:p>
      <w:pPr>
        <w:pStyle w:val="BodyText"/>
        <w:spacing w:before="235"/>
        <w:rPr>
          <w:i/>
          <w:sz w:val="32"/>
        </w:rPr>
      </w:pPr>
    </w:p>
    <w:p>
      <w:pPr>
        <w:pStyle w:val="Heading1"/>
        <w:spacing w:before="1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505485</wp:posOffset>
                </wp:positionH>
                <wp:positionV relativeFrom="paragraph">
                  <wp:posOffset>67039</wp:posOffset>
                </wp:positionV>
                <wp:extent cx="362585" cy="558165"/>
                <wp:effectExtent l="0" t="0" r="0" b="0"/>
                <wp:wrapNone/>
                <wp:docPr id="46" name="图形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图形46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26" y="504583"/>
                              </a:moveTo>
                              <a:lnTo>
                                <a:pt x="222415" y="501637"/>
                              </a:lnTo>
                              <a:lnTo>
                                <a:pt x="143700" y="501637"/>
                              </a:lnTo>
                              <a:lnTo>
                                <a:pt x="139915" y="501637"/>
                              </a:lnTo>
                              <a:lnTo>
                                <a:pt x="136829" y="504583"/>
                              </a:lnTo>
                              <a:lnTo>
                                <a:pt x="136829" y="511784"/>
                              </a:lnTo>
                              <a:lnTo>
                                <a:pt x="139915" y="514705"/>
                              </a:lnTo>
                              <a:lnTo>
                                <a:pt x="222415" y="514705"/>
                              </a:lnTo>
                              <a:lnTo>
                                <a:pt x="225526" y="511784"/>
                              </a:lnTo>
                              <a:lnTo>
                                <a:pt x="225526" y="504583"/>
                              </a:lnTo>
                              <a:close/>
                            </a:path>
                            <a:path w="362585" h="558165">
                              <a:moveTo>
                                <a:pt x="327177" y="56032"/>
                              </a:moveTo>
                              <a:lnTo>
                                <a:pt x="324091" y="53136"/>
                              </a:lnTo>
                              <a:lnTo>
                                <a:pt x="313436" y="53136"/>
                              </a:lnTo>
                              <a:lnTo>
                                <a:pt x="313436" y="66192"/>
                              </a:lnTo>
                              <a:lnTo>
                                <a:pt x="313436" y="465518"/>
                              </a:lnTo>
                              <a:lnTo>
                                <a:pt x="48768" y="465518"/>
                              </a:lnTo>
                              <a:lnTo>
                                <a:pt x="48768" y="66192"/>
                              </a:lnTo>
                              <a:lnTo>
                                <a:pt x="313436" y="66192"/>
                              </a:lnTo>
                              <a:lnTo>
                                <a:pt x="313436" y="53136"/>
                              </a:lnTo>
                              <a:lnTo>
                                <a:pt x="38074" y="53136"/>
                              </a:lnTo>
                              <a:lnTo>
                                <a:pt x="35001" y="56032"/>
                              </a:lnTo>
                              <a:lnTo>
                                <a:pt x="35001" y="475653"/>
                              </a:lnTo>
                              <a:lnTo>
                                <a:pt x="38074" y="478586"/>
                              </a:lnTo>
                              <a:lnTo>
                                <a:pt x="324091" y="478586"/>
                              </a:lnTo>
                              <a:lnTo>
                                <a:pt x="327177" y="475653"/>
                              </a:lnTo>
                              <a:lnTo>
                                <a:pt x="327177" y="465518"/>
                              </a:lnTo>
                              <a:lnTo>
                                <a:pt x="327177" y="66192"/>
                              </a:lnTo>
                              <a:lnTo>
                                <a:pt x="327177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3F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83F52"/>
          <w:w w:val="105"/>
        </w:rPr>
        <w:t>产品支持</w:t>
      </w:r>
      <w:r>
        <w:rPr>
          <w:color w:val="A83F52"/>
          <w:spacing w:val="-2"/>
          <w:w w:val="105"/>
        </w:rPr>
        <w:t>故障排除：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74" w:after="0"/>
        <w:ind w:left="1866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rFonts w:ascii="Trebuchet MS" w:hAnsi="Trebuchet MS"/>
          <w:b/>
          <w:color w:val="A83F52"/>
          <w:spacing w:val="-2"/>
        </w:rPr>
        <w:t>的</w:t>
      </w:r>
      <w:r>
        <w:rPr>
          <w:spacing w:val="-2"/>
        </w:rPr>
        <w:t>在线资源</w:t>
      </w:r>
      <w:hyperlink r:id="rId20">
        <w:r>
          <w:rPr>
            <w:rFonts w:ascii="Trebuchet MS" w:hAnsi="Trebuchet MS"/>
            <w:b/>
            <w:color w:val="A83F52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Heading1"/>
        <w:spacing w:before="0"/>
        <w:ind w:left="168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457200</wp:posOffset>
                </wp:positionH>
                <wp:positionV relativeFrom="paragraph">
                  <wp:posOffset>68888</wp:posOffset>
                </wp:positionV>
                <wp:extent cx="459105" cy="558165"/>
                <wp:effectExtent l="0" t="0" r="0" b="0"/>
                <wp:wrapNone/>
                <wp:docPr id="47" name="组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组47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48" name="图形48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6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8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3F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图51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83F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图像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83F52"/>
          <w:w w:val="105"/>
        </w:rPr>
        <w:t xml:space="preserve">MadgeTech 4软件</w:t>
      </w:r>
      <w:r>
        <w:rPr>
          <w:color w:val="A83F52"/>
          <w:spacing w:val="-2"/>
          <w:w w:val="105"/>
        </w:rPr>
        <w:t>支持：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75" w:after="0"/>
        <w:ind w:left="1866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4"/>
        </w:numPr>
        <w:tabs>
          <w:tab w:pos="1866" w:val="left" w:leader="none"/>
        </w:tabs>
        <w:spacing w:line="240" w:lineRule="auto" w:before="101" w:after="0"/>
        <w:ind w:left="1866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rFonts w:ascii="Trebuchet MS" w:hAnsi="Trebuchet MS"/>
            <w:b/>
            <w:color w:val="A83F52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5064074</wp:posOffset>
                </wp:positionH>
                <wp:positionV relativeFrom="paragraph">
                  <wp:posOffset>229089</wp:posOffset>
                </wp:positionV>
                <wp:extent cx="2251710" cy="430530"/>
                <wp:effectExtent l="0" t="0" r="0" b="0"/>
                <wp:wrapTopAndBottom/>
                <wp:docPr id="53" name="组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组53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54" name="图表54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图像55">
                            <a:hlinkClick r:id="rId5"/>
                          </pic:cNvPr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图像57">
                            <a:hlinkClick r:id="rId5"/>
                          </pic:cNvPr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图形58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图像59">
                            <a:hlinkClick r:id="rId5"/>
                          </pic:cNvPr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图像60">
                            <a:hlinkClick r:id="rId5"/>
                          </pic:cNvPr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图形61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695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5815723</wp:posOffset>
            </wp:positionH>
            <wp:positionV relativeFrom="paragraph">
              <wp:posOffset>-628450</wp:posOffset>
            </wp:positionV>
            <wp:extent cx="166868" cy="65341"/>
            <wp:effectExtent l="0" t="0" r="0" b="0"/>
            <wp:wrapNone/>
            <wp:docPr id="64" name="图像6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图像64">
                      <a:hlinkClick r:id="rId5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407616">
            <wp:simplePos x="0" y="0"/>
            <wp:positionH relativeFrom="page">
              <wp:posOffset>6418872</wp:posOffset>
            </wp:positionH>
            <wp:positionV relativeFrom="paragraph">
              <wp:posOffset>-628450</wp:posOffset>
            </wp:positionV>
            <wp:extent cx="296269" cy="65341"/>
            <wp:effectExtent l="0" t="0" r="0" b="0"/>
            <wp:wrapNone/>
            <wp:docPr id="65" name="图像6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图像65">
                      <a:hlinkClick r:id="rId5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28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5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18"/>
      <w:footerReference w:type="default" r:id="rId19"/>
      <w:pgSz w:w="12240" w:h="15840"/>
      <w:pgMar w:header="148" w:footer="0" w:top="1460" w:bottom="280" w:left="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0448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42" name="文本框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文本框42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4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83F52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83F52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83F52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83F52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99424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0" name="图形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图形40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83F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99936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41" name="文本框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文本框41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Temp1000IS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3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400960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4" name="图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图44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83F5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401472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2823845" cy="765810"/>
              <wp:effectExtent l="0" t="0" r="0" b="0"/>
              <wp:wrapNone/>
              <wp:docPr id="45" name="文本框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文本框45"/>
                    <wps:cNvSpPr txBox="1"/>
                    <wps:spPr>
                      <a:xfrm>
                        <a:off x="0" y="0"/>
                        <a:ext cx="2823845" cy="765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2"/>
                          </w:pPr>
                          <w:r>
                            <w:t>Temp1000IS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3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spacing w:val="0"/>
        <w:w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6" w:hanging="1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6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1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00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34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3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8" w:hanging="288"/>
      </w:pPr>
      <w:rPr>
        <w:rFonts w:hint="default"/>
        <w:lang w:val="en-US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rebuchet MS" w:hAnsi="Trebuchet MS" w:cs="Trebuchet MS" w:eastAsia="Trebuchet MS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148"/>
      <w:ind w:left="720"/>
      <w:outlineLvl w:val="3"/>
    </w:pPr>
    <w:rPr>
      <w:rFonts w:ascii="Trebuchet MS" w:hAnsi="Trebuchet MS" w:cs="Trebuchet MS" w:eastAsia="Trebuchet MS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92"/>
      <w:ind w:left="899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A83F52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83F52"/>
      <w:sz w:val="24"/>
    </w:rPr>
  </w:style>
  <w:style w:type="paragraph" w:styleId="P68B1DB1-Normal6">
    <w:name w:val="P68B1DB1-Normal6"/>
    <w:basedOn w:val="Normal"/>
    <w:rPr>
      <w:color w:val="FFFFFF"/>
      <w:spacing w:val="-2"/>
      <w:w w:val="105"/>
      <w:sz w:val="60"/>
    </w:rPr>
  </w:style>
  <w:style w:type="paragraph" w:styleId="P68B1DB1-Normal7">
    <w:name w:val="P68B1DB1-Normal7"/>
    <w:basedOn w:val="Normal"/>
    <w:rPr>
      <w:color w:val="FFFFFF"/>
      <w:sz w:val="36"/>
    </w:rPr>
  </w:style>
  <w:style w:type="paragraph" w:styleId="P68B1DB1-BodyText8">
    <w:name w:val="P68B1DB1-BodyText8"/>
    <w:basedOn w:val="BodyText"/>
    <w:rPr>
      <w:sz w:val="2"/>
    </w:rPr>
  </w:style>
  <w:style w:type="paragraph" w:styleId="P68B1DB1-Heading19">
    <w:name w:val="P68B1DB1-Heading19"/>
    <w:basedOn w:val="Heading1"/>
    <w:rPr>
      <w:color w:val="A83F52"/>
      <w:w w:val="105"/>
    </w:rPr>
  </w:style>
  <w:style w:type="paragraph" w:styleId="P68B1DB1-Heading310">
    <w:name w:val="P68B1DB1-Heading310"/>
    <w:basedOn w:val="Heading3"/>
    <w:rPr>
      <w:rFonts w:ascii="Calibri"/>
      <w:w w:val="105"/>
    </w:rPr>
  </w:style>
  <w:style w:type="paragraph" w:styleId="P68B1DB1-Heading211">
    <w:name w:val="P68B1DB1-Heading211"/>
    <w:basedOn w:val="Heading2"/>
    <w:rPr>
      <w:color w:val="A83F52"/>
    </w:rPr>
  </w:style>
  <w:style w:type="paragraph" w:styleId="P68B1DB1-Heading312">
    <w:name w:val="P68B1DB1-Heading312"/>
    <w:basedOn w:val="Heading3"/>
    <w:rPr>
      <w:rFonts w:ascii="Calibri"/>
      <w:spacing w:val="-2"/>
      <w:w w:val="105"/>
    </w:rPr>
  </w:style>
  <w:style w:type="paragraph" w:styleId="P68B1DB1-Heading313">
    <w:name w:val="P68B1DB1-Heading313"/>
    <w:basedOn w:val="Heading3"/>
    <w:rPr>
      <w:color w:val="A83F52"/>
    </w:rPr>
  </w:style>
  <w:style w:type="paragraph" w:styleId="P68B1DB1-Normal14">
    <w:name w:val="P68B1DB1-Normal14"/>
    <w:basedOn w:val="Normal"/>
    <w:rPr>
      <w:i/>
      <w:sz w:val="18"/>
    </w:rPr>
  </w:style>
  <w:style w:type="paragraph" w:styleId="P68B1DB1-Heading115">
    <w:name w:val="P68B1DB1-Heading115"/>
    <w:basedOn w:val="Heading1"/>
    <w:rPr>
      <w:color w:val="A83F52"/>
    </w:rPr>
  </w:style>
  <w:style w:type="paragraph" w:styleId="P68B1DB1-Normal16">
    <w:name w:val="P68B1DB1-Normal16"/>
    <w:basedOn w:val="Normal"/>
    <w:rPr>
      <w:color w:val="A83F52"/>
    </w:rPr>
  </w:style>
  <w:style w:type="paragraph" w:styleId="P68B1DB1-Heading317">
    <w:name w:val="P68B1DB1-Heading317"/>
    <w:basedOn w:val="Heading3"/>
    <w:rPr>
      <w:color w:val="A83F52"/>
      <w:spacing w:val="-2"/>
    </w:rPr>
  </w:style>
  <w:style w:type="paragraph" w:styleId="P68B1DB1-Heading318">
    <w:name w:val="P68B1DB1-Heading318"/>
    <w:basedOn w:val="Heading3"/>
    <w:rPr>
      <w:rFonts w:ascii="Calibri"/>
    </w:rPr>
  </w:style>
  <w:style w:type="paragraph" w:styleId="P68B1DB1-Normal19">
    <w:name w:val="P68B1DB1-Normal19"/>
    <w:basedOn w:val="Normal"/>
    <w:rPr>
      <w:i/>
      <w:sz w:val="16"/>
    </w:rPr>
  </w:style>
  <w:style w:type="paragraph" w:styleId="P68B1DB1-Normal20">
    <w:name w:val="P68B1DB1-Normal20"/>
    <w:basedOn w:val="Normal"/>
    <w:rPr>
      <w:rFonts w:ascii="Trebuchet MS"/>
      <w:b/>
      <w:color w:val="A83F52"/>
      <w:spacing w:val="-2"/>
      <w:sz w:val="24"/>
    </w:rPr>
  </w:style>
  <w:style w:type="paragraph" w:styleId="P68B1DB1-Normal21">
    <w:name w:val="P68B1DB1-Normal21"/>
    <w:basedOn w:val="Normal"/>
    <w:rPr>
      <w:color w:val="000000"/>
    </w:rPr>
  </w:style>
  <w:style w:type="paragraph" w:styleId="P68B1DB1-Normal22">
    <w:name w:val="P68B1DB1-Normal22"/>
    <w:basedOn w:val="Normal"/>
    <w:rPr>
      <w:color w:val="A83F52"/>
      <w:spacing w:val="-2"/>
      <w:w w:val="105"/>
      <w:sz w:val="24"/>
    </w:rPr>
  </w:style>
  <w:style w:type="paragraph" w:styleId="P68B1DB1-Normal23">
    <w:name w:val="P68B1DB1-Normal23"/>
    <w:basedOn w:val="Normal"/>
    <w:rPr>
      <w:color w:val="FFFFFF"/>
      <w:sz w:val="48"/>
    </w:rPr>
  </w:style>
  <w:style w:type="paragraph" w:styleId="P68B1DB1-Normal24">
    <w:name w:val="P68B1DB1-Normal24"/>
    <w:basedOn w:val="Normal"/>
    <w:rPr>
      <w:color w:val="A83F52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hyperlink" Target="https://www.madgetech.com/products/temp1000ex/" TargetMode="Externa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yperlink" Target="https://www.madgetech.com/resources" TargetMode="External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hyperlink" Target="mailto:sales@eofirm.com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2024-11-13T05:25:58Z</dcterms:created>
  <dcterms:modified xsi:type="dcterms:W3CDTF">2024-11-13T05:25:58Z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2024-11-13T00:00:00Z</vt:filetime>
  </property>
  <property fmtid="{D5CDD505-2E9C-101B-9397-08002B2CF9AE}" pid="5" name="Producer">
    <vt:lpwstr>Adobe PDF Library 15.0</vt:lpwstr>
  </property>
</Properties>
</file>